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8" w:rsidRPr="00F64DC8" w:rsidRDefault="00F64DC8" w:rsidP="00F64DC8">
      <w:pPr>
        <w:shd w:val="clear" w:color="auto" w:fill="FFFFFF"/>
        <w:spacing w:after="58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b/>
          <w:bCs/>
          <w:caps/>
          <w:color w:val="000000"/>
          <w:kern w:val="36"/>
          <w:sz w:val="16"/>
          <w:szCs w:val="16"/>
          <w:lang w:eastAsia="ru-RU"/>
        </w:rPr>
        <w:t>НИЗОМНОМАИ ОЛИМПИАДАИ НОМИИ ХОНАНДАГОНИ МУАССИСАҲОИ ТАҲСИЛОТИ МИЁНАИ УМУМӢ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16"/>
          <w:szCs w:val="16"/>
          <w:lang w:eastAsia="ru-RU"/>
        </w:rPr>
        <w:t> 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қарори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мушовараи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lang w:eastAsia="ru-RU"/>
        </w:rPr>
        <w:t> </w:t>
      </w:r>
      <w:r w:rsidRPr="00F64DC8">
        <w:rPr>
          <w:rFonts w:ascii="Arial" w:eastAsia="Times New Roman" w:hAnsi="Arial" w:cs="Arial"/>
          <w:color w:val="343636"/>
          <w:sz w:val="16"/>
          <w:szCs w:val="16"/>
          <w:lang w:eastAsia="ru-RU"/>
        </w:rPr>
        <w:br/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Вазорати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маорифи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lang w:eastAsia="ru-RU"/>
        </w:rPr>
        <w:t> </w:t>
      </w:r>
      <w:r w:rsidRPr="00F64DC8">
        <w:rPr>
          <w:rFonts w:ascii="Arial" w:eastAsia="Times New Roman" w:hAnsi="Arial" w:cs="Arial"/>
          <w:color w:val="343636"/>
          <w:sz w:val="16"/>
          <w:szCs w:val="16"/>
          <w:lang w:eastAsia="ru-RU"/>
        </w:rPr>
        <w:br/>
      </w: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Ҷумҳурии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оҷикистон</w:t>
      </w:r>
      <w:r w:rsidRPr="00F64DC8">
        <w:rPr>
          <w:rFonts w:ascii="Arial" w:eastAsia="Times New Roman" w:hAnsi="Arial" w:cs="Arial"/>
          <w:color w:val="343636"/>
          <w:sz w:val="20"/>
          <w:lang w:eastAsia="ru-RU"/>
        </w:rPr>
        <w:t> </w:t>
      </w:r>
      <w:r w:rsidRPr="00F64DC8">
        <w:rPr>
          <w:rFonts w:ascii="Arial" w:eastAsia="Times New Roman" w:hAnsi="Arial" w:cs="Arial"/>
          <w:color w:val="343636"/>
          <w:sz w:val="16"/>
          <w:szCs w:val="16"/>
          <w:lang w:eastAsia="ru-RU"/>
        </w:rPr>
        <w:br/>
      </w: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аз 29 02 соли 2012, № 3/23</w:t>
      </w:r>
      <w:r w:rsidRPr="00F64DC8">
        <w:rPr>
          <w:rFonts w:ascii="Arial" w:eastAsia="Times New Roman" w:hAnsi="Arial" w:cs="Arial"/>
          <w:color w:val="343636"/>
          <w:sz w:val="16"/>
          <w:szCs w:val="16"/>
          <w:lang w:eastAsia="ru-RU"/>
        </w:rPr>
        <w:br/>
      </w:r>
      <w:r w:rsidRPr="00F64DC8">
        <w:rPr>
          <w:rFonts w:ascii="Arial" w:eastAsia="Times New Roman" w:hAnsi="Arial" w:cs="Arial"/>
          <w:color w:val="343636"/>
          <w:sz w:val="16"/>
          <w:szCs w:val="16"/>
          <w:lang w:eastAsia="ru-RU"/>
        </w:rPr>
        <w:br/>
      </w: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тасдиқ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гардидааст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Низомномаи</w:t>
      </w:r>
      <w:proofErr w:type="spellEnd"/>
      <w:r w:rsidRPr="00F64DC8">
        <w:rPr>
          <w:rFonts w:ascii="Arial" w:eastAsia="Times New Roman" w:hAnsi="Arial" w:cs="Arial"/>
          <w:color w:val="343636"/>
          <w:sz w:val="16"/>
          <w:lang w:eastAsia="ru-RU"/>
        </w:rPr>
        <w:t> </w:t>
      </w: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Олимпиадаи</w:t>
      </w:r>
      <w:proofErr w:type="spell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номии</w:t>
      </w:r>
      <w:proofErr w:type="spell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хонандагони</w:t>
      </w:r>
      <w:proofErr w:type="spell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муассисаҳои таҳсилоти </w:t>
      </w: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миёнаи</w:t>
      </w:r>
      <w:proofErr w:type="spell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умумӣ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I. Қоидаҳои умумӣ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1.1.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Низомномаи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мазкур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асоси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Қонуни Ҷумҳурии Тоҷикистон “Дар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бораи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маориф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”,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Низомномаи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намунавии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муассисаҳои таҳсилоти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умумии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Ҷумҳурии Тоҷикистон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дигар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санадҳои меъёрии-ҳуқ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у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қӣ таҳия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шудаааст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  <w:r w:rsidRPr="00F64DC8">
        <w:rPr>
          <w:rFonts w:ascii="Arial" w:eastAsia="Times New Roman" w:hAnsi="Arial" w:cs="Arial"/>
          <w:color w:val="343636"/>
          <w:sz w:val="20"/>
          <w:lang w:eastAsia="ru-RU"/>
        </w:rPr>
        <w:t> 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2. Мақ</w:t>
      </w:r>
      <w:proofErr w:type="gram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сади</w:t>
      </w:r>
      <w:proofErr w:type="gram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асосии</w:t>
      </w:r>
      <w:proofErr w:type="spell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Олимпиада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2.1.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Дарёфт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ташаккули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малакаҳои эҷодӣ,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бедор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намудани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шавқу ҳавас ба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фаъолияти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илм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ӣ-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тадқиқотии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мактаббачагони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муассисаҳои таҳсилоти умумӣ;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фароҳам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овардани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шароитҳои зарурӣ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барои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дастгирии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хонандагони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болаёқат;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байни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хонандагон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тарғиб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паҳн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намудани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донишҳои илмӣ;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раҳнамоӣ ба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хонандагон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интихоби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касб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ҷалб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намудани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онҳ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ба муассисаҳои 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ҳсилоти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касбии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кишвар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берун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аз он.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 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3. </w:t>
      </w: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Ташкилкунандагони</w:t>
      </w:r>
      <w:proofErr w:type="spell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Олимпиада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3.1. Олимпиада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асоси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фармоиши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вазири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маорифи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Ҷумҳурии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оҷикистон аз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тарафи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Маркази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ҷумҳуриявии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кор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мактаббачагони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шоиста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таҳти роҳбарии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Кумитаи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тадорукоти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он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доир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 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мегардад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Олимпиадаи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номӣ ба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ифтихори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олимон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шоирони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классику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муосир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нависандагон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ходимони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давлатӣ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илм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рӯзноманигорон,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рушду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нумӯи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оҷикистон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муаррифии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миллат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саҳми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босазо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гузоштаанд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бахшида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3.2. Олимпиада аз олимпиадаҳои алоҳидаи фаннӣ (маҷмӯи 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фан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ҳо)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иборат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аст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: математика, физика, химия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биология.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3.3. Супоришҳои олимпиада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асоси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барномаҳои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таълимии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муассисаҳои таҳсилоти умумӣ  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тартиб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дода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3.4.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Забони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кории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Олимпиада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забони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тоҷикӣ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рус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аст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3.5.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Таъминоти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молиявии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ташкил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гузаронидани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Олимпиада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асоси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маблағҳои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пешбиникардаи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Вазорати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маорифи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Ҷумҳурии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оҷикистон амалӣ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мегардад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 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 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4. </w:t>
      </w: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Тартиби</w:t>
      </w:r>
      <w:proofErr w:type="spell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гузаронидани</w:t>
      </w:r>
      <w:proofErr w:type="spell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Олимпиада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4.1. Олимпиада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ду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давр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доир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карда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: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Даври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аввали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олимпиада моҳи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ноябр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дар вилоятҳо, шаҳри Душанбе </w:t>
      </w:r>
      <w:proofErr w:type="spellStart"/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ша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ҳру ноҳияҳои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тобеи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ҷумҳурӣ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доир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мегардад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давраи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дуюм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(ниҳоӣ)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аввали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моҳи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феврал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гузаронида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4.2. Дар Олимпиада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хонандагоне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барномаи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таълимии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муассисаҳои таҳсилоти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умумиро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аз худ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кардаанд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иштирок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карда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метавонанд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4.3.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Барои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иштирок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даври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дуюми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Олимпиада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хонандагоне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даври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аввал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ҷойҳои 1, 2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3-юмро ишғол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намуда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ҳамчун ғолиб ба қайд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гирифта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шудаанд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роҳ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дода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. Аз ҳар як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вилоят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минта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қа 3-нафарӣ ғолибони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даври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аввал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аз ҳар як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фанни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таълимӣ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иштирок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менамоянд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4.4.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Даври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ниҳоии Олимпиада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асоси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натиҷаи ҷавобҳои шахсӣ (фардӣ) ҷамъбаст карда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. Пеш аз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эълони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нати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ҷаҳои ҳар як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давр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иштирокчиёни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Олимпиада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метавонанд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натиҷаи баҳои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доварон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шинос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шаванд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5. Вазифаҳои </w:t>
      </w: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Кумитаи</w:t>
      </w:r>
      <w:proofErr w:type="spell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тадорукоти</w:t>
      </w:r>
      <w:proofErr w:type="spell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Олимпиада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5.1. Роҳбарӣ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ташкил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гузаронидани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Олимпиадаро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Кумитаи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тадорукоти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он ба ӯҳда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дорад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он тибқи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фармоиши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вазири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маорифи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Ҷумҳурии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оҷикистон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таъсис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тасдиқ карда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5.2 Ҳайати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кумитаи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тадорукот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ҳар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сол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фармоиши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вазири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маорифи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Ҷумҳурии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оҷикистон тасдиқ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мегардад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5.3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Кумитаи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тадорукоти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Олимпиада: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- чорабиниҳ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о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тартиби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гузаронидани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Олимпиадаро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тасдиқ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мекунад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ҳайати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комиссияи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координатсионӣ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доварони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Олимпиадаро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таъсис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медиҳад;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ҳисоботи ҳайати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доваронро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аз 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р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ӯи фанҳо (маҷмӯи фанҳо) муҳокима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қабул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мекунад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дар якҷоягӣ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ҳайати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доварон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аппелятсияҳои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иштирокчиёнро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меомӯзад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оид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ба натиҷаи онҳо қарори ниҳоиро қабул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мекунад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р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ӯйхати ғолибони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Олимпиадаро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аз рӯи фанҳо (маҷмӯи фанҳо) тасдиқ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мекунад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ғолибони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Олимпиадаро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ҳавасманд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мегардонад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;</w:t>
      </w:r>
    </w:p>
    <w:p w:rsidR="00F64DC8" w:rsidRPr="00F64DC8" w:rsidRDefault="00F64DC8" w:rsidP="00F64DC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lastRenderedPageBreak/>
        <w:t xml:space="preserve">-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дигар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фаъолиятҳоро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асоси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Низомномаи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мазкур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амалӣ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месозад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6. Ҳайати </w:t>
      </w:r>
      <w:proofErr w:type="spellStart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доварони</w:t>
      </w:r>
      <w:proofErr w:type="spellEnd"/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 xml:space="preserve"> олимпиада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6.1. Ба ҳайати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доварони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фаннӣ (маҷмӯи 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фан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ҳо)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профессорон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муаллимони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муассисаҳои таҳсилоти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касбӣ, муассисаҳои таҳсилоти умумӣ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мутахассисони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фанҳои алоҳида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шомил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: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супоришҳои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олимпиадаро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таҳия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дигар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шаклҳои санҷиши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дониши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иштирокчиёни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олимпиадаро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 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мегузаронад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ба корҳои иҷрокардаи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хонандагон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баҳогузорӣ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менамоянд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аппелятсияи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хонандагонро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қонеъ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мегардонанд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оид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ба беҳтар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намудани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фаъолияти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ташкилии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Олимпиада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дастуру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пешниҳод медиҳанд;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-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дигар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фаъолиятҳоро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асоси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Низомномаи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мазкур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амалӣ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месозад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7.</w:t>
      </w:r>
      <w:r w:rsidRPr="00F64DC8">
        <w:rPr>
          <w:rFonts w:ascii="Arial" w:eastAsia="Times New Roman" w:hAnsi="Arial" w:cs="Arial"/>
          <w:b/>
          <w:bCs/>
          <w:color w:val="343636"/>
          <w:sz w:val="20"/>
          <w:lang w:eastAsia="ru-RU"/>
        </w:rPr>
        <w:t> </w:t>
      </w:r>
      <w:r w:rsidRPr="00F64DC8">
        <w:rPr>
          <w:rFonts w:ascii="Arial" w:eastAsia="Times New Roman" w:hAnsi="Arial" w:cs="Arial"/>
          <w:b/>
          <w:bCs/>
          <w:color w:val="343636"/>
          <w:sz w:val="20"/>
          <w:szCs w:val="20"/>
          <w:lang w:eastAsia="ru-RU"/>
        </w:rPr>
        <w:t>Ҷамъбасти Олимпиада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7.1.Ғолибони даврҳои Олимпиада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асоси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нати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ҷаҳои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бадастовардаи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иштирокчиён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муайян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карда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Шумораи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ғолибони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даври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ниҳоӣ аз 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р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ӯи фанҳо (маҷмӯи фанҳо) аз ҳисоби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шумораи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умумии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иштирокчиён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1 ҷойи 1, 1 ҷойи 2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1 ҷойи 3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муайян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карда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Ғолибони Олимпиада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дипломҳои дараҷаи 1, 2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3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мукофотонида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. Дипломҳои ғолибон аз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тарафи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вазири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маорифи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Ҷумҳурии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оҷикистон ба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имзо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расида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он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медали рамзӣ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туҳфаи хотиравӣ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супорида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мешавад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7.2. 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Р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ӯйхати ғолибони Олимпиада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иттилоот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бораи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ғолибон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тавассути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ВАО дарҷ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мегардад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7.3. Имтиёзҳои ғолибони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олимпиадаро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вазири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маорифи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Ҷумҳурии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оҷикистон дар якҷоягӣ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Кумитаи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тадорукоти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Олимпиадаи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мазкур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муайян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месозанд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F64DC8" w:rsidRPr="00F64DC8" w:rsidRDefault="00F64DC8" w:rsidP="00F64DC8">
      <w:pPr>
        <w:shd w:val="clear" w:color="auto" w:fill="FFFFFF"/>
        <w:spacing w:after="58" w:line="240" w:lineRule="auto"/>
        <w:jc w:val="both"/>
        <w:rPr>
          <w:rFonts w:ascii="Arial" w:eastAsia="Times New Roman" w:hAnsi="Arial" w:cs="Arial"/>
          <w:color w:val="343636"/>
          <w:sz w:val="16"/>
          <w:szCs w:val="16"/>
          <w:lang w:eastAsia="ru-RU"/>
        </w:rPr>
      </w:pPr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7.4 Маблағгузории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даври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аввали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Олимпиада аз ҳисоби раёсатҳо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шуъбаҳои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маорифи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вилоят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шаҳру ноҳияҳо,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даври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ниҳоӣ аз ҳисоби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Вазорати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маорифи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Ҷумҳурии</w:t>
      </w:r>
      <w:proofErr w:type="gram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Т</w:t>
      </w:r>
      <w:proofErr w:type="gram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оҷикистон дар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асоси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сметаи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хароҷот,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онро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Маркази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ҷумҳуриявии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кор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бо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мактаббачагони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шоиста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пешниҳод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менамояд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,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сурат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 xml:space="preserve"> </w:t>
      </w:r>
      <w:proofErr w:type="spellStart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мегирад</w:t>
      </w:r>
      <w:proofErr w:type="spellEnd"/>
      <w:r w:rsidRPr="00F64DC8">
        <w:rPr>
          <w:rFonts w:ascii="Arial" w:eastAsia="Times New Roman" w:hAnsi="Arial" w:cs="Arial"/>
          <w:color w:val="343636"/>
          <w:sz w:val="20"/>
          <w:szCs w:val="20"/>
          <w:lang w:eastAsia="ru-RU"/>
        </w:rPr>
        <w:t>.</w:t>
      </w:r>
    </w:p>
    <w:p w:rsidR="00C1772D" w:rsidRDefault="00C1772D"/>
    <w:sectPr w:rsidR="00C1772D" w:rsidSect="00C1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4DC8"/>
    <w:rsid w:val="00397CC7"/>
    <w:rsid w:val="004E4328"/>
    <w:rsid w:val="00C1772D"/>
    <w:rsid w:val="00F6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2D"/>
  </w:style>
  <w:style w:type="paragraph" w:styleId="1">
    <w:name w:val="heading 1"/>
    <w:basedOn w:val="a"/>
    <w:link w:val="10"/>
    <w:uiPriority w:val="9"/>
    <w:qFormat/>
    <w:rsid w:val="00F64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114">
          <w:marLeft w:val="0"/>
          <w:marRight w:val="518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08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Company>Bukmop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2013-09-01T03:54:00Z</dcterms:created>
  <dcterms:modified xsi:type="dcterms:W3CDTF">2013-09-01T03:54:00Z</dcterms:modified>
</cp:coreProperties>
</file>